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aoeeu"/>
        <w:widowControl w:val="1"/>
        <w:rPr>
          <w:rFonts w:ascii="Arial Narrow" w:cs="Arial Narrow" w:hAnsi="Arial Narrow" w:eastAsia="Arial Narrow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rPr>
          <w:rFonts w:ascii="Arial Narrow" w:cs="Arial Narrow" w:hAnsi="Arial Narrow" w:eastAsia="Arial Narrow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Informazioni personali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Mainardis Mario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Indirizzo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rtl w:val="0"/>
                <w:lang w:val="it-IT"/>
              </w:rPr>
              <w:t xml:space="preserve">Via delle Scienze 204, 33100 Udine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Telefono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40" w:after="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0432 558414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instrText xml:space="preserve"> HYPERLINK "mailto:mario.mainardis@uniud.it"</w:instrText>
            </w:r>
            <w:r>
              <w:rPr>
                <w:rStyle w:val="Hyperlink.0"/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b w:val="1"/>
                <w:bCs w:val="1"/>
                <w:sz w:val="24"/>
                <w:szCs w:val="24"/>
                <w:rtl w:val="0"/>
                <w:lang w:val="en-US"/>
              </w:rPr>
              <w:t>mario.mainardis@uniud.it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Nazionalit</w:t>
            </w:r>
            <w:r>
              <w:rPr>
                <w:rFonts w:ascii="Arial Narrow" w:hAnsi="Arial Narrow" w:hint="default"/>
                <w:b w:val="0"/>
                <w:bCs w:val="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italiana</w:t>
            </w:r>
          </w:p>
        </w:tc>
      </w:tr>
    </w:tbl>
    <w:p>
      <w:pPr>
        <w:pStyle w:val="Aaoeeu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Data di nascita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12/03/1962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Esperienza lavorativa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lang w:val="it-IT"/>
        </w:rPr>
      </w:pPr>
      <w:r>
        <w:rPr>
          <w:rFonts w:ascii="Arial Narrow" w:cs="Arial Narrow" w:hAnsi="Arial Narrow" w:eastAsia="Arial Narrow"/>
          <w:b w:val="1"/>
          <w:bCs w:val="1"/>
          <w:lang w:val="it-IT"/>
        </w:rPr>
        <w:tab/>
      </w: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Date (da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 settembre 2004 - oggi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di Udine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ente pubblico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Qualifica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sz w:val="18"/>
                <w:szCs w:val="18"/>
                <w:shd w:val="nil" w:color="auto" w:fill="auto"/>
                <w:lang w:val="it-IT"/>
              </w:rPr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Professore associato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Date (da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dicembre 1993-settembre 2004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di Udine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ente pubblico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Qualifica</w:t>
            </w:r>
          </w:p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sz w:val="18"/>
                <w:szCs w:val="18"/>
                <w:shd w:val="nil" w:color="auto" w:fill="auto"/>
                <w:lang w:val="it-IT"/>
              </w:rPr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Ricercatore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Principali mansioni e responsabilit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Ricerca ed Insegnamento</w:t>
            </w:r>
          </w:p>
        </w:tc>
      </w:tr>
    </w:tbl>
    <w:p>
      <w:pPr>
        <w:pStyle w:val="Aaoeeu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Istruzione e formazione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Date (da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Ottobre 1990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- Luglio 1992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Christian-Albrechts-Universit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ä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 zu Kiel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Principali materie / abilit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professionali oggetto dello studio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Matematica pura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Qualifica conseguita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Doktror Rerum Naturae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Dottorato (Promotion)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tbl>
      <w:tblPr>
        <w:tblW w:w="92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251"/>
        <w:gridCol w:w="638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Date (da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en-US"/>
              </w:rPr>
              <w:t>Ottobre 1981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-Novembre 1987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Universit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degli studi di Padova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Principali materie / abilit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professionali oggetto dello studio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Matematica pura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Qualifica conseguita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Dottore in Matematica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Laurea 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Madrelingua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Italiano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Altre lingu</w:t>
            </w:r>
            <w:r>
              <w:rPr>
                <w:rFonts w:ascii="Arial Narrow" w:hAnsi="Arial Narrow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e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97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2"/>
        <w:gridCol w:w="263"/>
        <w:gridCol w:w="671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7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/>
        </w:tc>
        <w:tc>
          <w:tcPr>
            <w:tcW w:type="dxa" w:w="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>Inglese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7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di lettura</w:t>
            </w:r>
          </w:p>
        </w:tc>
        <w:tc>
          <w:tcPr>
            <w:tcW w:type="dxa" w:w="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eccellente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7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di scrittura</w:t>
            </w:r>
          </w:p>
        </w:tc>
        <w:tc>
          <w:tcPr>
            <w:tcW w:type="dxa" w:w="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eccellente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7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di espressione orale</w:t>
            </w:r>
          </w:p>
        </w:tc>
        <w:tc>
          <w:tcPr>
            <w:tcW w:type="dxa" w:w="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eccellente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94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7"/>
        <w:gridCol w:w="257"/>
        <w:gridCol w:w="655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/>
        </w:tc>
        <w:tc>
          <w:tcPr>
            <w:tcW w:type="dxa" w:w="2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rtl w:val="0"/>
                <w:lang w:val="it-IT"/>
              </w:rPr>
              <w:t>Tedesco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di lettura</w:t>
            </w:r>
          </w:p>
        </w:tc>
        <w:tc>
          <w:tcPr>
            <w:tcW w:type="dxa" w:w="2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eccellente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di scrittura</w:t>
            </w:r>
          </w:p>
        </w:tc>
        <w:tc>
          <w:tcPr>
            <w:tcW w:type="dxa" w:w="2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eccellente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di espressione orale</w:t>
            </w:r>
          </w:p>
        </w:tc>
        <w:tc>
          <w:tcPr>
            <w:tcW w:type="dxa" w:w="2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Buono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551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Incarichi istituzionali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  <w:rPr>
                <w:rFonts w:ascii="Arial Narrow" w:cs="Arial Narrow" w:hAnsi="Arial Narrow" w:eastAsia="Arial Narrow"/>
                <w:smallCaps w:val="1"/>
                <w:shd w:val="nil" w:color="auto" w:fill="auto"/>
                <w:lang w:val="it-IT"/>
              </w:rPr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Componente commissione piani di studio per il Corso di Studi in Matematica</w:t>
            </w:r>
          </w:p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Coordinatore Erasmus per Dortmund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Pubblicazioni scientifiche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24 pubblicazioni scientifiche nell</w:t>
            </w:r>
            <w:r>
              <w:rPr>
                <w:rFonts w:ascii="Arial Narrow" w:hAnsi="Arial Narrow" w:hint="default"/>
                <w:small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ambito della teoria dei gruppi, in particolare gruppi semplici finiti e strutture ad essi collegate, gruppi sporadici, rappresentazioni, teoria locale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Arial Narrow" w:hAnsi="Arial Narrow" w:hint="default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di ricerca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rtl w:val="0"/>
              </w:rPr>
              <w:t>Studio di strutture legate ai gruppi semplici finiti, in particolare classificazione delle algebre assiali di tipo Mostro  e rappresentazioni di Majorana dei gruppi finiti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Privacy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 Narrow" w:cs="Arial Narrow" w:hAnsi="Arial Narrow" w:eastAsia="Arial Narrow"/>
                <w:shd w:val="nil" w:color="auto" w:fill="auto"/>
              </w:rPr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Autorizzo il trattamento dei miei dati personali ai sensi dell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art. 13 D. Lgs. 30 giugno 2003 n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°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196 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– “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Codice in materia di protezione dei dati personali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e dell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art. 13 GDPR 679/16 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>– “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Regolamento europeo sulla protezione dei dati personali"</w:t>
            </w:r>
          </w:p>
          <w:p>
            <w:pPr>
              <w:pStyle w:val="Normale"/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 Narrow" w:cs="Arial Narrow" w:hAnsi="Arial Narrow" w:eastAsia="Arial Narrow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Data, 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5 aprile 2023</w:t>
            </w:r>
          </w:p>
          <w:p>
            <w:pPr>
              <w:pStyle w:val="Eaoae?aa"/>
              <w:widowControl w:val="1"/>
              <w:spacing w:before="20" w:after="20"/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pPr>
          </w:p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3"/>
        <w:gridCol w:w="7230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/>
      </w:pPr>
      <w:r>
        <w:rPr>
          <w:rFonts w:ascii="Arial Narrow" w:cs="Arial Narrow" w:hAnsi="Arial Narrow" w:eastAsia="Arial Narrow"/>
          <w:sz w:val="16"/>
          <w:szCs w:val="16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851" w:right="1797" w:bottom="851" w:left="851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rPr>
        <w:rStyle w:val="Numero pagina"/>
      </w:rPr>
    </w:pPr>
  </w:p>
  <w:p>
    <w:pPr>
      <w:pStyle w:val="Aaoeeu"/>
      <w:widowControl w:val="1"/>
      <w:tabs>
        <w:tab w:val="left" w:pos="3261"/>
      </w:tabs>
      <w:bidi w:val="0"/>
      <w:ind w:left="0" w:right="0" w:firstLine="0"/>
      <w:jc w:val="right"/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rtl w:val="0"/>
      </w:rPr>
    </w:pP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Pagina </w:t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begin" w:fldLock="0"/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instrText xml:space="preserve"> PAGE </w:instrText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separate" w:fldLock="0"/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end" w:fldLock="0"/>
    </w: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 - Curriculum vitae di</w:t>
    </w:r>
  </w:p>
  <w:p>
    <w:pPr>
      <w:pStyle w:val="O?ia eaeiYiio 2"/>
      <w:widowControl w:val="1"/>
      <w:bidi w:val="0"/>
      <w:ind w:left="0" w:right="0" w:firstLine="0"/>
      <w:jc w:val="left"/>
      <w:rPr>
        <w:rFonts w:ascii="Arial Narrow" w:cs="Arial Narrow" w:hAnsi="Arial Narrow" w:eastAsia="Arial Narrow"/>
        <w:i w:val="1"/>
        <w:iCs w:val="1"/>
        <w:shd w:val="nil" w:color="auto" w:fill="auto"/>
        <w:rtl w:val="0"/>
        <w:lang w:val="it-IT"/>
      </w:rPr>
    </w:pP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 xml:space="preserve">[ </w:t>
    </w: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>Mainardis Mario</w:t>
    </w: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 xml:space="preserve"> ]</w:t>
      <w:tab/>
      <w:tab/>
    </w:r>
  </w:p>
  <w:p>
    <w:pPr>
      <w:pStyle w:val="Aaoeeu"/>
      <w:widowControl w:val="1"/>
      <w:tabs>
        <w:tab w:val="left" w:pos="3261"/>
      </w:tabs>
    </w:pPr>
    <w:r>
      <w:rPr>
        <w:rFonts w:ascii="Arial Narrow" w:cs="Arial Narrow" w:hAnsi="Arial Narrow" w:eastAsia="Arial Narrow"/>
        <w:sz w:val="18"/>
        <w:szCs w:val="18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umero pagina">
    <w:name w:val="Numero pagina"/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?eeaoae?aa 2">
    <w:name w:val="A?eeaoae?aa 2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