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C27B23" w:rsidRPr="0041405A" w:rsidRDefault="00A75A20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Data di inizio della rilevazione: </w:t>
      </w:r>
      <w:r w:rsidR="00624E83">
        <w:rPr>
          <w:rFonts w:ascii="Titillium" w:hAnsi="Titillium"/>
          <w:sz w:val="20"/>
          <w:szCs w:val="20"/>
        </w:rPr>
        <w:t>31</w:t>
      </w:r>
      <w:r>
        <w:rPr>
          <w:rFonts w:ascii="Titillium" w:hAnsi="Titillium"/>
          <w:sz w:val="20"/>
          <w:szCs w:val="20"/>
        </w:rPr>
        <w:t>/05/2021</w:t>
      </w:r>
    </w:p>
    <w:p w:rsidR="00C27B23" w:rsidRPr="0041405A" w:rsidRDefault="00A75A20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Data</w:t>
      </w:r>
      <w:r w:rsidR="002F7E3B">
        <w:rPr>
          <w:rFonts w:ascii="Titillium" w:hAnsi="Titillium"/>
          <w:sz w:val="20"/>
          <w:szCs w:val="20"/>
        </w:rPr>
        <w:t xml:space="preserve"> di fine</w:t>
      </w:r>
      <w:r w:rsidR="00624E83">
        <w:rPr>
          <w:rFonts w:ascii="Titillium" w:hAnsi="Titillium"/>
          <w:sz w:val="20"/>
          <w:szCs w:val="20"/>
        </w:rPr>
        <w:t xml:space="preserve"> della rilevazione: 28</w:t>
      </w:r>
      <w:r>
        <w:rPr>
          <w:rFonts w:ascii="Titillium" w:hAnsi="Titillium"/>
          <w:sz w:val="20"/>
          <w:szCs w:val="20"/>
        </w:rPr>
        <w:t>/06/2021</w:t>
      </w:r>
    </w:p>
    <w:p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:rsidR="00C27B23" w:rsidRPr="0041405A" w:rsidRDefault="00A75A20" w:rsidP="00A75A20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L’Università degli Studi di Udine non ha uffici periferici, Corpi o articolazioni organizzative autonome trattati come tali ai fini della trasparenza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:rsidR="00C27B23" w:rsidRPr="00A75A20" w:rsidRDefault="00C27B23" w:rsidP="00A75A20">
      <w:pPr>
        <w:spacing w:after="0" w:line="276" w:lineRule="auto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C27B23" w:rsidRPr="0041405A" w:rsidRDefault="00A75A20" w:rsidP="00A75A20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A75A20">
        <w:rPr>
          <w:rFonts w:ascii="Titillium" w:hAnsi="Titillium"/>
          <w:sz w:val="20"/>
          <w:szCs w:val="20"/>
        </w:rPr>
        <w:t>Il Nucleo di Valutazione dell’Università degli Studi di Udine, ai fini dello svolgimento della rilevazione, ha proceduto effettuando</w:t>
      </w:r>
      <w:r w:rsidR="0048249A" w:rsidRPr="0041405A">
        <w:rPr>
          <w:rFonts w:ascii="Titillium" w:hAnsi="Titillium"/>
          <w:sz w:val="20"/>
          <w:szCs w:val="20"/>
        </w:rPr>
        <w:t>:</w:t>
      </w:r>
    </w:p>
    <w:p w:rsidR="00A75A20" w:rsidRPr="00A75A20" w:rsidRDefault="00A75A20" w:rsidP="00A75A20">
      <w:pPr>
        <w:pStyle w:val="Default"/>
        <w:numPr>
          <w:ilvl w:val="0"/>
          <w:numId w:val="5"/>
        </w:numPr>
        <w:tabs>
          <w:tab w:val="clear" w:pos="720"/>
          <w:tab w:val="left" w:pos="0"/>
          <w:tab w:val="num" w:pos="284"/>
        </w:tabs>
        <w:spacing w:line="360" w:lineRule="auto"/>
        <w:ind w:left="426" w:hanging="284"/>
        <w:jc w:val="both"/>
        <w:rPr>
          <w:rFonts w:ascii="Titillium" w:hAnsi="Titillium"/>
          <w:sz w:val="20"/>
          <w:szCs w:val="20"/>
        </w:rPr>
      </w:pPr>
      <w:r w:rsidRPr="00A75A20">
        <w:rPr>
          <w:rFonts w:ascii="Titillium" w:hAnsi="Titillium"/>
          <w:sz w:val="20"/>
          <w:szCs w:val="20"/>
        </w:rPr>
        <w:t>una verifica delle informazioni presenti sul sito istituzionale dell’Università degli Studi di Udine, anche attraverso l’utilizzo di supporti informatici;</w:t>
      </w:r>
    </w:p>
    <w:p w:rsidR="00A75A20" w:rsidRPr="00A75A20" w:rsidRDefault="00A75A20" w:rsidP="00A75A20">
      <w:pPr>
        <w:pStyle w:val="Default"/>
        <w:numPr>
          <w:ilvl w:val="0"/>
          <w:numId w:val="5"/>
        </w:numPr>
        <w:tabs>
          <w:tab w:val="clear" w:pos="720"/>
          <w:tab w:val="left" w:pos="0"/>
          <w:tab w:val="num" w:pos="284"/>
        </w:tabs>
        <w:spacing w:line="360" w:lineRule="auto"/>
        <w:ind w:left="426" w:hanging="284"/>
        <w:jc w:val="both"/>
        <w:rPr>
          <w:rFonts w:ascii="Titillium" w:hAnsi="Titillium"/>
          <w:sz w:val="20"/>
          <w:szCs w:val="20"/>
        </w:rPr>
      </w:pPr>
      <w:r w:rsidRPr="00A75A20">
        <w:rPr>
          <w:rFonts w:ascii="Titillium" w:hAnsi="Titillium"/>
          <w:sz w:val="20"/>
          <w:szCs w:val="20"/>
        </w:rPr>
        <w:t>una verifica dell’attività svolta dal Responsabile della prevenzione della corruzione e della trasparenza per riscontrare l’adempimento degli obblighi di pubblicazione.</w:t>
      </w:r>
    </w:p>
    <w:p w:rsidR="00C27B23" w:rsidRPr="0041405A" w:rsidRDefault="00C27B23" w:rsidP="00A75A20">
      <w:pPr>
        <w:spacing w:after="0" w:line="360" w:lineRule="auto"/>
        <w:rPr>
          <w:rFonts w:ascii="Titillium" w:hAnsi="Titillium"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C27B23" w:rsidRPr="00A75A20" w:rsidRDefault="00A75A20" w:rsidP="00A75A20">
      <w:pPr>
        <w:spacing w:after="0" w:line="360" w:lineRule="auto"/>
        <w:rPr>
          <w:rFonts w:ascii="Titillium" w:hAnsi="Titillium"/>
          <w:sz w:val="20"/>
          <w:szCs w:val="20"/>
        </w:rPr>
      </w:pPr>
      <w:r w:rsidRPr="00A75A20">
        <w:rPr>
          <w:rFonts w:ascii="Titillium" w:hAnsi="Titillium"/>
          <w:sz w:val="20"/>
          <w:szCs w:val="20"/>
        </w:rPr>
        <w:t xml:space="preserve">Nel corso della rilevazione il Nucleo di Valutazione non ha riscontrato </w:t>
      </w:r>
      <w:bookmarkStart w:id="0" w:name="_GoBack"/>
      <w:bookmarkEnd w:id="0"/>
      <w:r w:rsidRPr="00A75A20">
        <w:rPr>
          <w:rFonts w:ascii="Titillium" w:hAnsi="Titillium"/>
          <w:sz w:val="20"/>
          <w:szCs w:val="20"/>
        </w:rPr>
        <w:t>criticità da segnalare.</w:t>
      </w:r>
    </w:p>
    <w:p w:rsidR="008A0378" w:rsidRPr="0041405A" w:rsidRDefault="008A0378" w:rsidP="00A75A20">
      <w:pPr>
        <w:spacing w:after="0"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:rsidR="00A75A20" w:rsidRPr="00A75A20" w:rsidRDefault="00A75A20">
      <w:pPr>
        <w:spacing w:line="360" w:lineRule="auto"/>
        <w:rPr>
          <w:rFonts w:ascii="Titillium" w:hAnsi="Titillium"/>
          <w:sz w:val="20"/>
          <w:szCs w:val="20"/>
        </w:rPr>
      </w:pPr>
      <w:r w:rsidRPr="00A75A20">
        <w:rPr>
          <w:rFonts w:ascii="Titillium" w:hAnsi="Titillium"/>
          <w:sz w:val="20"/>
          <w:szCs w:val="20"/>
        </w:rPr>
        <w:t>Nessuna documentazione.</w:t>
      </w:r>
    </w:p>
    <w:sectPr w:rsidR="00A75A20" w:rsidRPr="00A75A20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053" w:rsidRDefault="00150053">
      <w:pPr>
        <w:spacing w:after="0" w:line="240" w:lineRule="auto"/>
      </w:pPr>
      <w:r>
        <w:separator/>
      </w:r>
    </w:p>
  </w:endnote>
  <w:endnote w:type="continuationSeparator" w:id="0">
    <w:p w:rsidR="00150053" w:rsidRDefault="0015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053" w:rsidRDefault="00150053">
      <w:pPr>
        <w:spacing w:after="0" w:line="240" w:lineRule="auto"/>
      </w:pPr>
      <w:r>
        <w:separator/>
      </w:r>
    </w:p>
  </w:footnote>
  <w:footnote w:type="continuationSeparator" w:id="0">
    <w:p w:rsidR="00150053" w:rsidRDefault="0015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D42855"/>
    <w:multiLevelType w:val="multilevel"/>
    <w:tmpl w:val="015EC2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B23"/>
    <w:rsid w:val="00040F20"/>
    <w:rsid w:val="000F2C0E"/>
    <w:rsid w:val="00150053"/>
    <w:rsid w:val="0016468A"/>
    <w:rsid w:val="0024134D"/>
    <w:rsid w:val="002C572E"/>
    <w:rsid w:val="002F7E3B"/>
    <w:rsid w:val="003E1CF5"/>
    <w:rsid w:val="0041405A"/>
    <w:rsid w:val="00416AD0"/>
    <w:rsid w:val="0048249A"/>
    <w:rsid w:val="004833D5"/>
    <w:rsid w:val="004F18CD"/>
    <w:rsid w:val="0060106A"/>
    <w:rsid w:val="00624E83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75A20"/>
    <w:rsid w:val="00AF790D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EC5E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Utente</cp:lastModifiedBy>
  <cp:revision>29</cp:revision>
  <cp:lastPrinted>2018-02-28T15:30:00Z</cp:lastPrinted>
  <dcterms:created xsi:type="dcterms:W3CDTF">2013-12-19T15:41:00Z</dcterms:created>
  <dcterms:modified xsi:type="dcterms:W3CDTF">2021-06-28T15:00:00Z</dcterms:modified>
</cp:coreProperties>
</file>